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BB0B41" w:rsidRDefault="008E61EC" w:rsidP="002179B6">
          <w:pPr>
            <w:pStyle w:val="Meno"/>
            <w:rPr>
              <w:b/>
            </w:rPr>
          </w:pPr>
          <w:r>
            <w:rPr>
              <w:b/>
            </w:rPr>
            <w:t xml:space="preserve">AUTEX </w:t>
          </w:r>
          <w:r w:rsidR="00B2324E">
            <w:rPr>
              <w:b/>
            </w:rPr>
            <w:t xml:space="preserve">Multi </w:t>
          </w:r>
          <w:r>
            <w:rPr>
              <w:b/>
            </w:rPr>
            <w:t xml:space="preserve">JD </w:t>
          </w:r>
          <w:r w:rsidR="00B2324E">
            <w:rPr>
              <w:b/>
            </w:rPr>
            <w:t>UTTO 80W</w:t>
          </w:r>
        </w:p>
      </w:sdtContent>
    </w:sdt>
    <w:tbl>
      <w:tblPr>
        <w:tblStyle w:val="Tabukaivotopisu"/>
        <w:tblW w:w="5000" w:type="pct"/>
        <w:tblInd w:w="-142" w:type="dxa"/>
        <w:tblLook w:val="04A0" w:firstRow="1" w:lastRow="0" w:firstColumn="1" w:lastColumn="0" w:noHBand="0" w:noVBand="1"/>
      </w:tblPr>
      <w:tblGrid>
        <w:gridCol w:w="1542"/>
        <w:gridCol w:w="30"/>
        <w:gridCol w:w="7500"/>
      </w:tblGrid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</w:rPr>
              <w:t>pOPIS</w:t>
            </w:r>
          </w:p>
        </w:tc>
        <w:tc>
          <w:tcPr>
            <w:tcW w:w="64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</w:tcPr>
          <w:p w:rsidR="002179B6" w:rsidRPr="00842D30" w:rsidRDefault="00842D30" w:rsidP="00842D30">
            <w:pPr>
              <w:pStyle w:val="Nadpis3"/>
              <w:outlineLvl w:val="2"/>
              <w:rPr>
                <w:rFonts w:ascii="Arial Unicode MS" w:eastAsia="Arial Unicode MS" w:hAnsi="Arial Unicode MS" w:cs="Arial Unicode MS"/>
                <w:b w:val="0"/>
                <w:sz w:val="18"/>
                <w:szCs w:val="18"/>
              </w:rPr>
            </w:pPr>
            <w:r w:rsidRPr="00842D30">
              <w:rPr>
                <w:rFonts w:ascii="Arial Unicode MS" w:eastAsia="Arial Unicode MS" w:hAnsi="Arial Unicode MS" w:cs="Arial Unicode MS"/>
                <w:b w:val="0"/>
                <w:color w:val="auto"/>
                <w:sz w:val="18"/>
                <w:szCs w:val="18"/>
              </w:rPr>
              <w:t>A</w:t>
            </w:r>
            <w:r w:rsidR="00BF6C09" w:rsidRPr="00842D30">
              <w:rPr>
                <w:rFonts w:ascii="Arial Unicode MS" w:eastAsia="Arial Unicode MS" w:hAnsi="Arial Unicode MS" w:cs="Arial Unicode MS"/>
                <w:b w:val="0"/>
                <w:color w:val="auto"/>
                <w:sz w:val="18"/>
                <w:szCs w:val="18"/>
                <w:lang w:eastAsia="sk-SK"/>
              </w:rPr>
              <w:t xml:space="preserve">UTEX </w:t>
            </w:r>
            <w:proofErr w:type="spellStart"/>
            <w:r w:rsidR="00BF6C09" w:rsidRPr="00842D30">
              <w:rPr>
                <w:rFonts w:ascii="Arial Unicode MS" w:eastAsia="Arial Unicode MS" w:hAnsi="Arial Unicode MS" w:cs="Arial Unicode MS"/>
                <w:b w:val="0"/>
                <w:color w:val="auto"/>
                <w:sz w:val="18"/>
                <w:szCs w:val="18"/>
                <w:lang w:eastAsia="sk-SK"/>
              </w:rPr>
              <w:t>Multi</w:t>
            </w:r>
            <w:proofErr w:type="spellEnd"/>
            <w:r w:rsidR="00BF6C09" w:rsidRPr="00842D30">
              <w:rPr>
                <w:rFonts w:ascii="Arial Unicode MS" w:eastAsia="Arial Unicode MS" w:hAnsi="Arial Unicode MS" w:cs="Arial Unicode MS"/>
                <w:b w:val="0"/>
                <w:color w:val="auto"/>
                <w:sz w:val="18"/>
                <w:szCs w:val="18"/>
                <w:lang w:eastAsia="sk-SK"/>
              </w:rPr>
              <w:t xml:space="preserve"> UTTO 80W je univerzálny traktorový olej (UTTO), vyrobený z minerálnych základových olejov, ktoré majú vynikajúce nízkoteplotné vlastnosti s použitím komplexného balíka prísad novej generácie, ktorý spĺňa požiadavky na </w:t>
            </w:r>
            <w:r w:rsidR="00236106" w:rsidRPr="00842D30">
              <w:rPr>
                <w:rFonts w:ascii="Arial Unicode MS" w:eastAsia="Arial Unicode MS" w:hAnsi="Arial Unicode MS" w:cs="Arial Unicode MS"/>
                <w:b w:val="0"/>
                <w:color w:val="auto"/>
                <w:sz w:val="18"/>
                <w:szCs w:val="18"/>
                <w:lang w:eastAsia="sk-SK"/>
              </w:rPr>
              <w:t>vysoké zaťaženie v poľnohospodárskych strojoch</w:t>
            </w:r>
          </w:p>
        </w:tc>
      </w:tr>
      <w:tr w:rsidR="002179B6" w:rsidRPr="008F714F" w:rsidTr="00BB1C2B">
        <w:trPr>
          <w:trHeight w:val="881"/>
        </w:trPr>
        <w:tc>
          <w:tcPr>
            <w:tcW w:w="1921" w:type="dxa"/>
          </w:tcPr>
          <w:p w:rsidR="002179B6" w:rsidRPr="008F714F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8F714F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t>pOUžITIE</w:t>
            </w:r>
          </w:p>
        </w:tc>
        <w:tc>
          <w:tcPr>
            <w:tcW w:w="64" w:type="dxa"/>
          </w:tcPr>
          <w:p w:rsidR="002179B6" w:rsidRPr="008F714F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</w:tcPr>
          <w:p w:rsidR="00CF44B0" w:rsidRPr="00236106" w:rsidRDefault="00843B6F" w:rsidP="00843B6F">
            <w:pPr>
              <w:pStyle w:val="Odsekzoznamu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3610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Meniče krútiaceho momentu poľnohospodárskych a stavebných strojov vhodné pre </w:t>
            </w:r>
            <w:proofErr w:type="spellStart"/>
            <w:r w:rsidRPr="00236106">
              <w:rPr>
                <w:rFonts w:ascii="Arial Unicode MS" w:eastAsia="Arial Unicode MS" w:hAnsi="Arial Unicode MS" w:cs="Arial Unicode MS"/>
                <w:sz w:val="18"/>
                <w:szCs w:val="18"/>
              </w:rPr>
              <w:t>Powershift</w:t>
            </w:r>
            <w:proofErr w:type="spellEnd"/>
            <w:r w:rsidRPr="00236106">
              <w:rPr>
                <w:rFonts w:ascii="Arial Unicode MS" w:eastAsia="Arial Unicode MS" w:hAnsi="Arial Unicode MS" w:cs="Arial Unicode MS"/>
                <w:sz w:val="18"/>
                <w:szCs w:val="18"/>
              </w:rPr>
              <w:t>, prevodovky CVT, IVT, CVX</w:t>
            </w:r>
          </w:p>
          <w:p w:rsidR="00843B6F" w:rsidRPr="00236106" w:rsidRDefault="00843B6F" w:rsidP="00843B6F">
            <w:pPr>
              <w:pStyle w:val="Odsekzoznamu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36106">
              <w:rPr>
                <w:rFonts w:ascii="Arial Unicode MS" w:eastAsia="Arial Unicode MS" w:hAnsi="Arial Unicode MS" w:cs="Arial Unicode MS"/>
                <w:sz w:val="18"/>
                <w:szCs w:val="18"/>
              </w:rPr>
              <w:t>Prevody s mokrou brzdou</w:t>
            </w:r>
          </w:p>
          <w:p w:rsidR="00843B6F" w:rsidRPr="00236106" w:rsidRDefault="00843B6F" w:rsidP="00843B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36106">
              <w:rPr>
                <w:rFonts w:ascii="Arial Unicode MS" w:eastAsia="Arial Unicode MS" w:hAnsi="Arial Unicode MS" w:cs="Arial Unicode MS"/>
                <w:sz w:val="18"/>
                <w:szCs w:val="18"/>
              </w:rPr>
              <w:t>Spojka v olejovom kúpeli</w:t>
            </w:r>
          </w:p>
          <w:p w:rsidR="002179B6" w:rsidRPr="008F714F" w:rsidRDefault="002179B6" w:rsidP="00843B6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2179B6" w:rsidRPr="008F714F" w:rsidTr="00A35AE2">
        <w:tc>
          <w:tcPr>
            <w:tcW w:w="1921" w:type="dxa"/>
            <w:tcBorders>
              <w:bottom w:val="single" w:sz="4" w:space="0" w:color="4F81BD" w:themeColor="accent1"/>
            </w:tcBorders>
          </w:tcPr>
          <w:p w:rsidR="00BB1C2B" w:rsidRPr="008F714F" w:rsidRDefault="002179B6" w:rsidP="00BB1C2B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8F714F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vlastnosti</w:t>
            </w:r>
            <w:r w:rsidR="00BB1C2B" w:rsidRPr="008F714F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    A výhody</w:t>
            </w:r>
          </w:p>
          <w:p w:rsidR="002179B6" w:rsidRPr="008F714F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BB1C2B" w:rsidRPr="008F714F" w:rsidRDefault="00BB1C2B" w:rsidP="00BB1C2B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4" w:type="dxa"/>
            <w:tcBorders>
              <w:bottom w:val="single" w:sz="4" w:space="0" w:color="4F81BD" w:themeColor="accent1"/>
            </w:tcBorders>
          </w:tcPr>
          <w:p w:rsidR="002179B6" w:rsidRPr="008F714F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  <w:tcBorders>
              <w:bottom w:val="single" w:sz="4" w:space="0" w:color="4F81BD" w:themeColor="accent1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39"/>
              <w:gridCol w:w="5061"/>
            </w:tblGrid>
            <w:tr w:rsidR="00843B6F" w:rsidRPr="00236106" w:rsidTr="00274262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3B6F" w:rsidRPr="00236106" w:rsidRDefault="00843B6F" w:rsidP="00274262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18"/>
                      <w:szCs w:val="18"/>
                    </w:rPr>
                  </w:pPr>
                  <w:r w:rsidRPr="00236106">
                    <w:rPr>
                      <w:rFonts w:ascii="Arial Unicode MS" w:eastAsia="Arial Unicode MS" w:hAnsi="Arial Unicode MS" w:cs="Arial Unicode MS"/>
                      <w:b/>
                      <w:bCs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3B6F" w:rsidRPr="00236106" w:rsidRDefault="00843B6F" w:rsidP="00274262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18"/>
                      <w:szCs w:val="18"/>
                    </w:rPr>
                  </w:pPr>
                  <w:r w:rsidRPr="00236106">
                    <w:rPr>
                      <w:rFonts w:ascii="Arial Unicode MS" w:eastAsia="Arial Unicode MS" w:hAnsi="Arial Unicode MS" w:cs="Arial Unicode MS"/>
                      <w:b/>
                      <w:bCs/>
                      <w:sz w:val="18"/>
                      <w:szCs w:val="18"/>
                    </w:rPr>
                    <w:t>Výhody</w:t>
                  </w:r>
                </w:p>
              </w:tc>
            </w:tr>
            <w:tr w:rsidR="00843B6F" w:rsidRPr="00236106" w:rsidTr="002742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3B6F" w:rsidRPr="00236106" w:rsidRDefault="00843B6F" w:rsidP="00274262">
                  <w:pP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23610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Vynikajúca odolnosť voči opotrebovaniu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3B6F" w:rsidRPr="00236106" w:rsidRDefault="00843B6F" w:rsidP="0027426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23610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Dlhá životnosť prevodu a spoľahlivá prevádzka</w:t>
                  </w:r>
                </w:p>
              </w:tc>
            </w:tr>
            <w:tr w:rsidR="00843B6F" w:rsidRPr="00236106" w:rsidTr="002742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3B6F" w:rsidRPr="00236106" w:rsidRDefault="00843B6F" w:rsidP="00274262">
                  <w:pP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23610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Optimálne charakteristiky trenia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3B6F" w:rsidRPr="00236106" w:rsidRDefault="00843B6F" w:rsidP="0027426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23610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Mokré brzdy a spojky pracujú tichšie a bez chvenia</w:t>
                  </w:r>
                </w:p>
              </w:tc>
            </w:tr>
            <w:tr w:rsidR="00843B6F" w:rsidRPr="00236106" w:rsidTr="002742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3B6F" w:rsidRPr="00236106" w:rsidRDefault="00843B6F" w:rsidP="00274262">
                  <w:pP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23610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Vynikajúca ochrana proti korózii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3B6F" w:rsidRPr="00236106" w:rsidRDefault="00843B6F" w:rsidP="00274262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23610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Dlhodobá ochrana proti poškodeniu povrchu aj za prítomnosti vlhkosti</w:t>
                  </w:r>
                </w:p>
              </w:tc>
            </w:tr>
            <w:tr w:rsidR="00843B6F" w:rsidRPr="00236106" w:rsidTr="002742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3B6F" w:rsidRPr="00236106" w:rsidRDefault="00843B6F" w:rsidP="00274262">
                  <w:pP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23610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Vynikajúca strihová stálosť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3B6F" w:rsidRPr="00236106" w:rsidRDefault="00843B6F" w:rsidP="00274262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23610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Zachováva si viskozitné vlastnosti počas celého výmenného intervalu oleja</w:t>
                  </w:r>
                </w:p>
              </w:tc>
            </w:tr>
            <w:tr w:rsidR="00843B6F" w:rsidRPr="00236106" w:rsidTr="002742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3B6F" w:rsidRPr="00236106" w:rsidRDefault="00843B6F" w:rsidP="00274262">
                  <w:pP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23610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Dobrá tepelná a oxidačná stálosť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3B6F" w:rsidRPr="00236106" w:rsidRDefault="00843B6F" w:rsidP="0027426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23610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Netvoria sa usadeniny alebo kaly</w:t>
                  </w:r>
                </w:p>
              </w:tc>
            </w:tr>
            <w:tr w:rsidR="00843B6F" w:rsidRPr="00236106" w:rsidTr="002742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3B6F" w:rsidRPr="00236106" w:rsidRDefault="00843B6F" w:rsidP="00274262">
                  <w:pP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23610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Zlepšené nízkoteplotné vlastnosti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3B6F" w:rsidRPr="00236106" w:rsidRDefault="00843B6F" w:rsidP="00274262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23610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Spoľahlivá prevádzka pri nízkych te</w:t>
                  </w:r>
                  <w:r w:rsidR="00CF44B0" w:rsidRPr="0023610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plotách</w:t>
                  </w:r>
                </w:p>
              </w:tc>
            </w:tr>
          </w:tbl>
          <w:p w:rsidR="00773776" w:rsidRPr="00236106" w:rsidRDefault="00773776" w:rsidP="00693AD7">
            <w:pPr>
              <w:pStyle w:val="Defaul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en-US"/>
              </w:rPr>
            </w:pP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236106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236106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236106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236106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236106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FC1CBD" w:rsidRPr="00236106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236106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236106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236106" w:rsidRDefault="00843B6F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23610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0,875</w:t>
                  </w:r>
                </w:p>
              </w:tc>
            </w:tr>
            <w:tr w:rsidR="00FC1CBD" w:rsidRPr="00236106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236106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236106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lastRenderedPageBreak/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236106" w:rsidRDefault="00C2323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60</w:t>
                  </w:r>
                </w:p>
              </w:tc>
            </w:tr>
            <w:tr w:rsidR="00FC1CBD" w:rsidRPr="00236106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236106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236106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100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236106" w:rsidRDefault="00C2323D" w:rsidP="00F908EA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9,4</w:t>
                  </w:r>
                </w:p>
              </w:tc>
            </w:tr>
            <w:tr w:rsidR="00FC1CBD" w:rsidRPr="00236106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236106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236106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Viskozitný index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236106" w:rsidRDefault="00C2323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138</w:t>
                  </w:r>
                </w:p>
              </w:tc>
            </w:tr>
            <w:tr w:rsidR="00FC1CBD" w:rsidRPr="00236106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236106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236106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236106" w:rsidRDefault="00F908EA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23610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-36</w:t>
                  </w:r>
                </w:p>
              </w:tc>
            </w:tr>
            <w:tr w:rsidR="00FC1CBD" w:rsidRPr="00236106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236106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236106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236106" w:rsidRDefault="00C2323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220</w:t>
                  </w:r>
                  <w:bookmarkStart w:id="0" w:name="_GoBack"/>
                  <w:bookmarkEnd w:id="0"/>
                </w:p>
              </w:tc>
            </w:tr>
          </w:tbl>
          <w:p w:rsidR="002179B6" w:rsidRPr="00F908EA" w:rsidRDefault="001661FE" w:rsidP="00F908E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23610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</w:tc>
      </w:tr>
      <w:tr w:rsidR="002179B6" w:rsidRPr="008F714F" w:rsidTr="00A35AE2">
        <w:tc>
          <w:tcPr>
            <w:tcW w:w="192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773776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73776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lastRenderedPageBreak/>
              <w:t>Špecifikácie   a  súhlasy</w:t>
            </w:r>
          </w:p>
        </w:tc>
        <w:tc>
          <w:tcPr>
            <w:tcW w:w="64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773776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0B486B" w:rsidRPr="00773776" w:rsidRDefault="00007FAF" w:rsidP="00CF1AE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>Viskozitná tried</w:t>
            </w:r>
            <w:r w:rsidR="00842D30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>a: SAE 80W, SAE 10W-30</w:t>
            </w:r>
            <w:r w:rsidR="00842D30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br/>
              <w:t>API GL-4</w:t>
            </w:r>
            <w:r w:rsidR="00CF1AE0" w:rsidRPr="00CF1AE0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="00CF1AE0" w:rsidRPr="00CF1AE0">
              <w:rPr>
                <w:rFonts w:ascii="Arial Unicode MS" w:eastAsia="Arial Unicode MS" w:hAnsi="Arial Unicode MS" w:cs="Arial Unicode MS"/>
                <w:sz w:val="18"/>
                <w:szCs w:val="18"/>
              </w:rPr>
              <w:t>Ford</w:t>
            </w:r>
            <w:proofErr w:type="spellEnd"/>
            <w:r w:rsidR="00CF1AE0" w:rsidRPr="00CF1AE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New </w:t>
            </w:r>
            <w:proofErr w:type="spellStart"/>
            <w:r w:rsidR="00CF1AE0" w:rsidRPr="00CF1AE0">
              <w:rPr>
                <w:rFonts w:ascii="Arial Unicode MS" w:eastAsia="Arial Unicode MS" w:hAnsi="Arial Unicode MS" w:cs="Arial Unicode MS"/>
                <w:sz w:val="18"/>
                <w:szCs w:val="18"/>
              </w:rPr>
              <w:t>Holland</w:t>
            </w:r>
            <w:proofErr w:type="spellEnd"/>
            <w:r w:rsidR="00CF1AE0" w:rsidRPr="00CF1AE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ESN-M2C 86-B</w:t>
            </w:r>
            <w:r w:rsidR="00CF1AE0" w:rsidRPr="00CF1AE0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Volvo WB101</w:t>
            </w:r>
            <w:r w:rsidR="00CF1AE0" w:rsidRPr="00CF1AE0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="00CF1AE0" w:rsidRPr="00CF1AE0">
              <w:rPr>
                <w:rFonts w:ascii="Arial Unicode MS" w:eastAsia="Arial Unicode MS" w:hAnsi="Arial Unicode MS" w:cs="Arial Unicode MS"/>
                <w:sz w:val="18"/>
                <w:szCs w:val="18"/>
              </w:rPr>
              <w:t>John</w:t>
            </w:r>
            <w:proofErr w:type="spellEnd"/>
            <w:r w:rsidR="00CF1AE0" w:rsidRPr="00CF1AE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="00CF1AE0" w:rsidRPr="00CF1AE0">
              <w:rPr>
                <w:rFonts w:ascii="Arial Unicode MS" w:eastAsia="Arial Unicode MS" w:hAnsi="Arial Unicode MS" w:cs="Arial Unicode MS"/>
                <w:sz w:val="18"/>
                <w:szCs w:val="18"/>
              </w:rPr>
              <w:t>Deere</w:t>
            </w:r>
            <w:proofErr w:type="spellEnd"/>
            <w:r w:rsidR="00CF1AE0" w:rsidRPr="00CF1AE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JDM J20A</w:t>
            </w:r>
            <w:r w:rsidR="00CF1AE0" w:rsidRPr="00CF1AE0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="00CF1AE0" w:rsidRPr="00CF1AE0">
              <w:rPr>
                <w:rFonts w:ascii="Arial Unicode MS" w:eastAsia="Arial Unicode MS" w:hAnsi="Arial Unicode MS" w:cs="Arial Unicode MS"/>
                <w:sz w:val="18"/>
                <w:szCs w:val="18"/>
              </w:rPr>
              <w:t>John</w:t>
            </w:r>
            <w:proofErr w:type="spellEnd"/>
            <w:r w:rsidR="00CF1AE0" w:rsidRPr="00CF1AE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="00CF1AE0" w:rsidRPr="00CF1AE0">
              <w:rPr>
                <w:rFonts w:ascii="Arial Unicode MS" w:eastAsia="Arial Unicode MS" w:hAnsi="Arial Unicode MS" w:cs="Arial Unicode MS"/>
                <w:sz w:val="18"/>
                <w:szCs w:val="18"/>
              </w:rPr>
              <w:t>Deere</w:t>
            </w:r>
            <w:proofErr w:type="spellEnd"/>
            <w:r w:rsidR="00CF1AE0" w:rsidRPr="00CF1AE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JDM J20C</w:t>
            </w:r>
            <w:r w:rsidR="00CF1AE0" w:rsidRPr="00CF1AE0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="00CF1AE0" w:rsidRPr="00CF1AE0">
              <w:rPr>
                <w:rFonts w:ascii="Arial Unicode MS" w:eastAsia="Arial Unicode MS" w:hAnsi="Arial Unicode MS" w:cs="Arial Unicode MS"/>
                <w:sz w:val="18"/>
                <w:szCs w:val="18"/>
              </w:rPr>
              <w:t>Massey-Ferguson</w:t>
            </w:r>
            <w:proofErr w:type="spellEnd"/>
            <w:r w:rsidR="00CF1AE0" w:rsidRPr="00CF1AE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M1141</w:t>
            </w:r>
            <w:r w:rsidR="00CF1AE0" w:rsidRPr="00CF1AE0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="00CF1AE0" w:rsidRPr="00CF1AE0">
              <w:rPr>
                <w:rFonts w:ascii="Arial Unicode MS" w:eastAsia="Arial Unicode MS" w:hAnsi="Arial Unicode MS" w:cs="Arial Unicode MS"/>
                <w:sz w:val="18"/>
                <w:szCs w:val="18"/>
              </w:rPr>
              <w:t>Massey-Ferguson</w:t>
            </w:r>
            <w:proofErr w:type="spellEnd"/>
            <w:r w:rsidR="00CF1AE0" w:rsidRPr="00CF1AE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M1129A</w:t>
            </w:r>
            <w:r w:rsidR="00CF1AE0" w:rsidRPr="00CF1AE0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="00CF1AE0" w:rsidRPr="00CF1AE0">
              <w:rPr>
                <w:rFonts w:ascii="Arial Unicode MS" w:eastAsia="Arial Unicode MS" w:hAnsi="Arial Unicode MS" w:cs="Arial Unicode MS"/>
                <w:sz w:val="18"/>
                <w:szCs w:val="18"/>
              </w:rPr>
              <w:t>Massey-Ferguson</w:t>
            </w:r>
            <w:proofErr w:type="spellEnd"/>
            <w:r w:rsidR="00CF1AE0" w:rsidRPr="00CF1AE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M1127B</w:t>
            </w:r>
            <w:r w:rsidR="00CF1AE0" w:rsidRPr="00CF1AE0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 xml:space="preserve">JI </w:t>
            </w:r>
            <w:proofErr w:type="spellStart"/>
            <w:r w:rsidR="00CF1AE0" w:rsidRPr="00CF1AE0">
              <w:rPr>
                <w:rFonts w:ascii="Arial Unicode MS" w:eastAsia="Arial Unicode MS" w:hAnsi="Arial Unicode MS" w:cs="Arial Unicode MS"/>
                <w:sz w:val="18"/>
                <w:szCs w:val="18"/>
              </w:rPr>
              <w:t>Case</w:t>
            </w:r>
            <w:proofErr w:type="spellEnd"/>
            <w:r w:rsidR="00CF1AE0" w:rsidRPr="00CF1AE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MS 1204</w:t>
            </w:r>
            <w:r w:rsidR="00CF1AE0" w:rsidRPr="00CF1AE0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="00CF1AE0" w:rsidRPr="00CF1AE0">
              <w:rPr>
                <w:rFonts w:ascii="Arial Unicode MS" w:eastAsia="Arial Unicode MS" w:hAnsi="Arial Unicode MS" w:cs="Arial Unicode MS"/>
                <w:sz w:val="18"/>
                <w:szCs w:val="18"/>
              </w:rPr>
              <w:t>White-Farm</w:t>
            </w:r>
            <w:proofErr w:type="spellEnd"/>
            <w:r w:rsidR="00CF1AE0" w:rsidRPr="00CF1AE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Q-1826</w:t>
            </w:r>
            <w:r w:rsidR="00CF1AE0" w:rsidRPr="00CF1AE0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="00CF1AE0" w:rsidRPr="00CF1AE0">
              <w:rPr>
                <w:rFonts w:ascii="Arial Unicode MS" w:eastAsia="Arial Unicode MS" w:hAnsi="Arial Unicode MS" w:cs="Arial Unicode MS"/>
                <w:sz w:val="18"/>
                <w:szCs w:val="18"/>
              </w:rPr>
              <w:t>Deutz-Allis</w:t>
            </w:r>
            <w:proofErr w:type="spellEnd"/>
            <w:r w:rsidR="00CF1AE0" w:rsidRPr="00CF1AE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PF821</w:t>
            </w:r>
            <w:r w:rsidR="00CF1AE0" w:rsidRPr="00CF1AE0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="00CF1AE0" w:rsidRPr="00CF1AE0">
              <w:rPr>
                <w:rFonts w:ascii="Arial Unicode MS" w:eastAsia="Arial Unicode MS" w:hAnsi="Arial Unicode MS" w:cs="Arial Unicode MS"/>
                <w:sz w:val="18"/>
                <w:szCs w:val="18"/>
              </w:rPr>
              <w:t>Eaton</w:t>
            </w:r>
            <w:proofErr w:type="spellEnd"/>
            <w:r w:rsidR="00CF1AE0" w:rsidRPr="00CF1AE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(</w:t>
            </w:r>
            <w:proofErr w:type="spellStart"/>
            <w:r w:rsidR="00CF1AE0" w:rsidRPr="00CF1AE0">
              <w:rPr>
                <w:rFonts w:ascii="Arial Unicode MS" w:eastAsia="Arial Unicode MS" w:hAnsi="Arial Unicode MS" w:cs="Arial Unicode MS"/>
                <w:sz w:val="18"/>
                <w:szCs w:val="18"/>
              </w:rPr>
              <w:t>Vickers</w:t>
            </w:r>
            <w:proofErr w:type="spellEnd"/>
            <w:r w:rsidR="00CF1AE0" w:rsidRPr="00CF1AE0">
              <w:rPr>
                <w:rFonts w:ascii="Arial Unicode MS" w:eastAsia="Arial Unicode MS" w:hAnsi="Arial Unicode MS" w:cs="Arial Unicode MS"/>
                <w:sz w:val="18"/>
                <w:szCs w:val="18"/>
              </w:rPr>
              <w:t>) M-2950-S</w:t>
            </w:r>
            <w:r w:rsidR="00CF1AE0" w:rsidRPr="00CF1AE0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="00CF1AE0" w:rsidRPr="00CF1AE0">
              <w:rPr>
                <w:rFonts w:ascii="Arial Unicode MS" w:eastAsia="Arial Unicode MS" w:hAnsi="Arial Unicode MS" w:cs="Arial Unicode MS"/>
                <w:sz w:val="18"/>
                <w:szCs w:val="18"/>
              </w:rPr>
              <w:t>Eaton</w:t>
            </w:r>
            <w:proofErr w:type="spellEnd"/>
            <w:r w:rsidR="00CF1AE0" w:rsidRPr="00CF1AE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(</w:t>
            </w:r>
            <w:proofErr w:type="spellStart"/>
            <w:r w:rsidR="00CF1AE0" w:rsidRPr="00CF1AE0">
              <w:rPr>
                <w:rFonts w:ascii="Arial Unicode MS" w:eastAsia="Arial Unicode MS" w:hAnsi="Arial Unicode MS" w:cs="Arial Unicode MS"/>
                <w:sz w:val="18"/>
                <w:szCs w:val="18"/>
              </w:rPr>
              <w:t>Vickers</w:t>
            </w:r>
            <w:proofErr w:type="spellEnd"/>
            <w:r w:rsidR="00CF1AE0" w:rsidRPr="00CF1AE0">
              <w:rPr>
                <w:rFonts w:ascii="Arial Unicode MS" w:eastAsia="Arial Unicode MS" w:hAnsi="Arial Unicode MS" w:cs="Arial Unicode MS"/>
                <w:sz w:val="18"/>
                <w:szCs w:val="18"/>
              </w:rPr>
              <w:t>) I-280-S</w:t>
            </w:r>
          </w:p>
        </w:tc>
      </w:tr>
      <w:tr w:rsidR="002179B6" w:rsidRPr="008F714F" w:rsidTr="00842D30">
        <w:trPr>
          <w:trHeight w:val="3504"/>
        </w:trPr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2179B6" w:rsidRPr="008F714F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</w:pPr>
            <w:r w:rsidRPr="008F714F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t xml:space="preserve">Pokyny pre manipuláciu </w:t>
            </w:r>
            <w:r w:rsidR="00327E21" w:rsidRPr="008F714F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t xml:space="preserve"> </w:t>
            </w:r>
            <w:r w:rsidRPr="008F714F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t>a skladovanie</w:t>
            </w:r>
          </w:p>
        </w:tc>
        <w:tc>
          <w:tcPr>
            <w:tcW w:w="64" w:type="dxa"/>
            <w:tcBorders>
              <w:top w:val="single" w:sz="4" w:space="0" w:color="auto"/>
              <w:bottom w:val="nil"/>
            </w:tcBorders>
          </w:tcPr>
          <w:p w:rsidR="002179B6" w:rsidRPr="008F714F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12103F" w:rsidRPr="008F714F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8F714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Skladujte v uzavretých originálnych obaloch na suchých miestach </w:t>
            </w:r>
          </w:p>
          <w:p w:rsidR="0012103F" w:rsidRPr="008F714F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8F714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12103F" w:rsidRPr="008F714F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8F714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 vzťahujúce sa k ropným výrobkom.</w:t>
            </w:r>
          </w:p>
          <w:p w:rsidR="0012103F" w:rsidRPr="008F714F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8F714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12103F" w:rsidRPr="008F714F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8F714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Motorové oleje sú plne formulované výrobky, dodatočná </w:t>
            </w:r>
            <w:proofErr w:type="spellStart"/>
            <w:r w:rsidRPr="008F714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8F714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 škody. V takomto prípade výrobca ani predajca nenesú zodpovednosť.</w:t>
            </w:r>
          </w:p>
          <w:p w:rsidR="0012103F" w:rsidRPr="008F714F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8F714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12103F" w:rsidRPr="008F714F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8F714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8F714F" w:rsidRDefault="0012103F" w:rsidP="0012103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F714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Pr="008F714F" w:rsidRDefault="006D7EAB" w:rsidP="00842D30">
      <w:pPr>
        <w:rPr>
          <w:rFonts w:ascii="Arial Unicode MS" w:eastAsia="Arial Unicode MS" w:hAnsi="Arial Unicode MS" w:cs="Arial Unicode MS"/>
          <w:sz w:val="18"/>
          <w:szCs w:val="18"/>
        </w:rPr>
      </w:pPr>
    </w:p>
    <w:sectPr w:rsidR="006D7EAB" w:rsidRPr="008F714F" w:rsidSect="006D7E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0ED" w:rsidRDefault="009E50ED" w:rsidP="002179B6">
      <w:pPr>
        <w:spacing w:before="0" w:after="0" w:line="240" w:lineRule="auto"/>
      </w:pPr>
      <w:r>
        <w:separator/>
      </w:r>
    </w:p>
  </w:endnote>
  <w:endnote w:type="continuationSeparator" w:id="0">
    <w:p w:rsidR="009E50ED" w:rsidRDefault="009E50ED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661534"/>
      <w:docPartObj>
        <w:docPartGallery w:val="Page Numbers (Bottom of Page)"/>
        <w:docPartUnique/>
      </w:docPartObj>
    </w:sdtPr>
    <w:sdtEndPr/>
    <w:sdtContent>
      <w:p w:rsidR="00773776" w:rsidRDefault="00773776" w:rsidP="00773776">
        <w:pPr>
          <w:pStyle w:val="Pta"/>
        </w:pPr>
        <w:r>
          <w:t xml:space="preserve">AUTEX s.r.o., Kragujevská 3679/22C, 010 01 Žilina, IČO: 36389714, Mobil: 0903 735 214, E-mail: </w:t>
        </w:r>
        <w:hyperlink r:id="rId1" w:history="1">
          <w:r w:rsidRPr="00E13C00">
            <w:rPr>
              <w:rStyle w:val="Hypertextovprepojenie"/>
            </w:rPr>
            <w:t>autexhaj@autexsro.sk</w:t>
          </w:r>
        </w:hyperlink>
        <w:r>
          <w:t xml:space="preserve">, Prevádzka: Háj 207, 039 01 Turčianske Teplice, </w:t>
        </w:r>
        <w:proofErr w:type="spellStart"/>
        <w:r>
          <w:t>www.oleje-autex.sk</w:t>
        </w:r>
        <w:proofErr w:type="spellEnd"/>
        <w:r>
          <w:t>.</w:t>
        </w:r>
      </w:p>
      <w:p w:rsidR="00773776" w:rsidRDefault="00773776">
        <w:pPr>
          <w:pStyle w:val="Pta"/>
        </w:pPr>
        <w:r>
          <w:t xml:space="preserve">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2323D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2179B6" w:rsidRDefault="002179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0ED" w:rsidRDefault="009E50ED" w:rsidP="002179B6">
      <w:pPr>
        <w:spacing w:before="0" w:after="0" w:line="240" w:lineRule="auto"/>
      </w:pPr>
      <w:r>
        <w:separator/>
      </w:r>
    </w:p>
  </w:footnote>
  <w:footnote w:type="continuationSeparator" w:id="0">
    <w:p w:rsidR="009E50ED" w:rsidRDefault="009E50ED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0A52"/>
    <w:multiLevelType w:val="multilevel"/>
    <w:tmpl w:val="2B08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2530D8"/>
    <w:multiLevelType w:val="multilevel"/>
    <w:tmpl w:val="1B7E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B5799"/>
    <w:multiLevelType w:val="multilevel"/>
    <w:tmpl w:val="9636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5753D9"/>
    <w:multiLevelType w:val="multilevel"/>
    <w:tmpl w:val="E800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4F14D1"/>
    <w:multiLevelType w:val="multilevel"/>
    <w:tmpl w:val="B054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300452"/>
    <w:multiLevelType w:val="multilevel"/>
    <w:tmpl w:val="EFDE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815C3B"/>
    <w:multiLevelType w:val="multilevel"/>
    <w:tmpl w:val="FE26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BB2C50"/>
    <w:multiLevelType w:val="hybridMultilevel"/>
    <w:tmpl w:val="460A48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07FAF"/>
    <w:rsid w:val="00040609"/>
    <w:rsid w:val="000B486B"/>
    <w:rsid w:val="0012103F"/>
    <w:rsid w:val="001661FE"/>
    <w:rsid w:val="002179B6"/>
    <w:rsid w:val="00236106"/>
    <w:rsid w:val="002C2E9F"/>
    <w:rsid w:val="002E2098"/>
    <w:rsid w:val="002E7F35"/>
    <w:rsid w:val="00306C22"/>
    <w:rsid w:val="00327E21"/>
    <w:rsid w:val="0035550E"/>
    <w:rsid w:val="003605B1"/>
    <w:rsid w:val="003D27EB"/>
    <w:rsid w:val="00471BBF"/>
    <w:rsid w:val="005633DB"/>
    <w:rsid w:val="00581E39"/>
    <w:rsid w:val="005C7B6C"/>
    <w:rsid w:val="006559EA"/>
    <w:rsid w:val="006A0776"/>
    <w:rsid w:val="006D7EAB"/>
    <w:rsid w:val="007375B5"/>
    <w:rsid w:val="00773776"/>
    <w:rsid w:val="00782D13"/>
    <w:rsid w:val="00784C94"/>
    <w:rsid w:val="00842D30"/>
    <w:rsid w:val="00843B6F"/>
    <w:rsid w:val="008C42FA"/>
    <w:rsid w:val="008E61EC"/>
    <w:rsid w:val="008F5FA3"/>
    <w:rsid w:val="008F714F"/>
    <w:rsid w:val="00964E51"/>
    <w:rsid w:val="00986B26"/>
    <w:rsid w:val="00992BFE"/>
    <w:rsid w:val="009C2442"/>
    <w:rsid w:val="009E2F4B"/>
    <w:rsid w:val="009E50ED"/>
    <w:rsid w:val="00A35AE2"/>
    <w:rsid w:val="00B2324E"/>
    <w:rsid w:val="00B24BA1"/>
    <w:rsid w:val="00B27B0E"/>
    <w:rsid w:val="00BA0B2B"/>
    <w:rsid w:val="00BB19D1"/>
    <w:rsid w:val="00BB1C2B"/>
    <w:rsid w:val="00BD2AC0"/>
    <w:rsid w:val="00BF6C09"/>
    <w:rsid w:val="00C2323D"/>
    <w:rsid w:val="00CA18F7"/>
    <w:rsid w:val="00CE7AEA"/>
    <w:rsid w:val="00CF1AE0"/>
    <w:rsid w:val="00CF44B0"/>
    <w:rsid w:val="00D031CB"/>
    <w:rsid w:val="00D36AFC"/>
    <w:rsid w:val="00D57D2B"/>
    <w:rsid w:val="00F32002"/>
    <w:rsid w:val="00F3792C"/>
    <w:rsid w:val="00F751F3"/>
    <w:rsid w:val="00F768C4"/>
    <w:rsid w:val="00F836BF"/>
    <w:rsid w:val="00F908EA"/>
    <w:rsid w:val="00FB6A34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2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F32002"/>
    <w:rPr>
      <w:rFonts w:asciiTheme="majorHAnsi" w:eastAsiaTheme="majorEastAsia" w:hAnsiTheme="majorHAnsi" w:cstheme="majorBidi"/>
      <w:b/>
      <w:bCs/>
      <w:color w:val="4F81BD" w:themeColor="accent1"/>
      <w:kern w:val="20"/>
      <w:sz w:val="20"/>
      <w:szCs w:val="20"/>
      <w:lang w:eastAsia="ja-JP"/>
    </w:rPr>
  </w:style>
  <w:style w:type="paragraph" w:styleId="Normlnywebov">
    <w:name w:val="Normal (Web)"/>
    <w:basedOn w:val="Normlny"/>
    <w:uiPriority w:val="99"/>
    <w:semiHidden/>
    <w:unhideWhenUsed/>
    <w:rsid w:val="00F3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43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2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F32002"/>
    <w:rPr>
      <w:rFonts w:asciiTheme="majorHAnsi" w:eastAsiaTheme="majorEastAsia" w:hAnsiTheme="majorHAnsi" w:cstheme="majorBidi"/>
      <w:b/>
      <w:bCs/>
      <w:color w:val="4F81BD" w:themeColor="accent1"/>
      <w:kern w:val="20"/>
      <w:sz w:val="20"/>
      <w:szCs w:val="20"/>
      <w:lang w:eastAsia="ja-JP"/>
    </w:rPr>
  </w:style>
  <w:style w:type="paragraph" w:styleId="Normlnywebov">
    <w:name w:val="Normal (Web)"/>
    <w:basedOn w:val="Normlny"/>
    <w:uiPriority w:val="99"/>
    <w:semiHidden/>
    <w:unhideWhenUsed/>
    <w:rsid w:val="00F3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43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00152"/>
    <w:rsid w:val="000B6C5E"/>
    <w:rsid w:val="000B718E"/>
    <w:rsid w:val="000D1AE6"/>
    <w:rsid w:val="001D599C"/>
    <w:rsid w:val="00457518"/>
    <w:rsid w:val="00687541"/>
    <w:rsid w:val="007809ED"/>
    <w:rsid w:val="00962123"/>
    <w:rsid w:val="00AB5A67"/>
    <w:rsid w:val="00AE7377"/>
    <w:rsid w:val="00B30670"/>
    <w:rsid w:val="00CC37A6"/>
    <w:rsid w:val="00D0731B"/>
    <w:rsid w:val="00D238A2"/>
    <w:rsid w:val="00D96BD1"/>
    <w:rsid w:val="00ED00C1"/>
    <w:rsid w:val="00FC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87C35-59F0-4B2E-8C69-45279937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Multi JD UTTO 80W</dc:creator>
  <cp:lastModifiedBy>AUTEX-ZA</cp:lastModifiedBy>
  <cp:revision>6</cp:revision>
  <cp:lastPrinted>2021-12-09T12:11:00Z</cp:lastPrinted>
  <dcterms:created xsi:type="dcterms:W3CDTF">2022-03-07T19:31:00Z</dcterms:created>
  <dcterms:modified xsi:type="dcterms:W3CDTF">2022-03-08T19:07:00Z</dcterms:modified>
</cp:coreProperties>
</file>